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Approvvigionamenti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gare e degli appalti per procedure di acquisizione di beni e servizi necessari all'Ente ( es. pulizie, arredi) mediante procedure di evidenza pubblica e affidamenti diretti con unico fornitore nei casi consentiti; dalla fase istruttoria (Determine di indizione procedura, nomina Commissione di Gara, verbali di Commissione etc.) all'aggiudicazione finale, verificando la documentazione prodotta, predisponendo le comunicazioni necessarie a garantire i principi di trasparenza, pubblicita' ed informazione ai concorrenti e predisponendo le comunicazioni di esclusione di richiesta integrazione documentazione, la determina di aggiudicazione o annullamento.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Consegne materiali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Approvvigionamenti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