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Ecologia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interventi manutentivi del verde pubblico; della gestione del Servizio di nettezza urbana o dell'appalto del servizio; delle convenzioni con i consorzi obbligatori per la raccolta differenziata; delle procedure di bonifica e rilascio della relativa autorizzazione; dell'inquinamenti dell'aria e dell'acqua; della disinfestazione.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rispetto limiti emissioni sonore per pubblici esercizi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rimozione cemento-amianto: concessione contributi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Progetto Operativo degli Interventi di Bonifica: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e ripristino di aree contaminate: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della caratterizzazione: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di occupazione suolo pubblico in aree verdi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 progetto per la gestione ed il trattamento e lo smaltimento dei rifiuti da rendere a Enti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Provvedimento per l'esecuzione d'ufficio in caso di mancata ottemperanza da parte dei destinatari a quanto precedentemente ordinato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Sospensione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Dati e statistiche sullo stato dell'ambiente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